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983BB8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983BB8" w:rsidRDefault="00CC3975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983BB8" w:rsidRDefault="00CC3975">
            <w:pPr>
              <w:spacing w:after="0" w:line="240" w:lineRule="auto"/>
            </w:pPr>
            <w:r>
              <w:t>32205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983BB8" w:rsidRDefault="00CC3975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983BB8" w:rsidRDefault="00CC3975">
            <w:pPr>
              <w:spacing w:after="0" w:line="240" w:lineRule="auto"/>
            </w:pPr>
            <w:r>
              <w:t>CENTAR ZA KULTURU VELA LUKA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983BB8" w:rsidRDefault="00CC3975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983BB8" w:rsidRDefault="00CC3975">
            <w:pPr>
              <w:spacing w:after="0" w:line="240" w:lineRule="auto"/>
            </w:pPr>
            <w:r>
              <w:t>21</w:t>
            </w:r>
          </w:p>
        </w:tc>
      </w:tr>
    </w:tbl>
    <w:p w:rsidR="00983BB8" w:rsidRDefault="00CC3975">
      <w:r>
        <w:br/>
      </w:r>
    </w:p>
    <w:p w:rsidR="00983BB8" w:rsidRDefault="00CC3975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983BB8" w:rsidRDefault="00CC3975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983BB8" w:rsidRDefault="00CC3975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308.273,82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555.077,53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180,1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169.822,21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191.217,06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112,6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983BB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138.451,61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363.860,47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262,8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131.058,84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363.945,30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277,7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983BB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131.058,84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363.945,30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277,7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Izdaci za financijsku imovinu i otplate zajmova (šifre </w:t>
            </w:r>
            <w:r>
              <w:rPr>
                <w:sz w:val="18"/>
              </w:rPr>
              <w:t>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983BB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983BB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84,83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Na dan 31.12.2025.g. je ostvaren manjak prihoda i primitaka tekuće godine u iznosu od 84,83 eura (šifra Y005). Kada se istome pridoda preneseni višak iz prethodne 2024. godine u iznosu od 8.865,67 eura, dobije se višak prihoda i primitaka raspoloživ u slje</w:t>
      </w:r>
      <w:r>
        <w:t>dećem razdoblju (šifra X006) u iznosu od 8.780,84 eura.</w:t>
      </w:r>
    </w:p>
    <w:p w:rsidR="00983BB8" w:rsidRDefault="00CC3975">
      <w:r>
        <w:br/>
      </w:r>
    </w:p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POSLOVANJA (šifre </w:t>
            </w:r>
            <w:r>
              <w:rPr>
                <w:sz w:val="18"/>
              </w:rPr>
              <w:t>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308.273,82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555.077,53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180,1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Prihodi poslovanja u 2025. godini iznose 555.077,53 eura, dok su ostvareni prihodi poslovanja u istom izvještajnom razdoblju prethodne godine iznosili 308.273,82 eura, što je povećanje od 80,10 % u odnosu na isto razdoblje prethodne godine.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</w:t>
            </w:r>
            <w:r>
              <w:rPr>
                <w:b/>
                <w:sz w:val="18"/>
              </w:rPr>
              <w:t xml:space="preserve">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 (šifre 6331+6332)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93.739,68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305.134,28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325,5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Pomoći proračunu i izvanproračunskim korisnicima iz drugih proračuna u izvještajnom razdoblju tekuće 2025. godine iznose 305.134,28 eura, dok su u izvještajnom razdoblju prethodne godine iznosili 93.739,68 eura što je povećanje od 225,50 %, a odnose se na: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Tekuće pomoći proračunu i izvanproračunskim korisnicima iz drugih proračuna u iznosu od 4.500,00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Kapitalne pomoći proračunu i izvanproračunskim korisnicima iz drugih proračuna u iznosu od 300.634,28 eura.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</w:t>
            </w:r>
            <w:r>
              <w:rPr>
                <w:b/>
                <w:sz w:val="18"/>
              </w:rPr>
              <w:t>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7.080,00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63,6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Tekuće pomoći proračunu i izvanproračunskim korisnicima iz drugih proračuna u izvještajnom razdoblju tekuće 2025.g. iznosili su 4.500,00 eura, dok su za isto razdoblje prethodne 2024.g. iznosili 7.080,00 eura. </w:t>
      </w:r>
    </w:p>
    <w:p w:rsidR="00983BB8" w:rsidRDefault="00CC3975">
      <w:r>
        <w:t>Pomoći se odnose na:</w:t>
      </w:r>
    </w:p>
    <w:p w:rsidR="00983BB8" w:rsidRDefault="00CC3975">
      <w:pPr>
        <w:pStyle w:val="Odlomakpopisa"/>
        <w:numPr>
          <w:ilvl w:val="0"/>
          <w:numId w:val="1"/>
        </w:numPr>
      </w:pPr>
      <w:r>
        <w:t xml:space="preserve">Tekuće pomoći za Trag u </w:t>
      </w:r>
      <w:r>
        <w:t>beskraju - sjećanje na Olivera Dragojevića u iznosu od 4.000,00 eura, 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Tekuće pomoći za financiranje programa Dani Vele špile u iznosu od 500,00 eura.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</w:t>
            </w:r>
            <w:r>
              <w:rPr>
                <w:b/>
                <w:sz w:val="18"/>
              </w:rPr>
              <w:t>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86.659,68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300.634,28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346,9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Kapitalne pomoći proračunu i izvanproračunskim korisnicima iz drugih proračuna u izvještajnom razdoblju tekuće 2025. godine iznosile su 300.634,28 eura, dok su u istom razdoblju prethodne, 2024. godine, iznosile 86.659,68 eura. To predstavlja povećanje od </w:t>
      </w:r>
      <w:r>
        <w:t>246,90 %. Ostvarene kapitalne pomoći odnose se na sredstva dodijeljena od Ministarstva kulture i medija za VI. fazu adaptacije zgrade CZK, namijenjene potrebama Zavičajnog muzeja s muzejskom zbirkom.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</w:t>
            </w:r>
            <w:r>
              <w:rPr>
                <w:b/>
                <w:sz w:val="18"/>
              </w:rPr>
              <w:t>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Kamate na oročena sredstva i depozite po viđenju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301,6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Kamate na oročena sredstva i depozite po viđenju u izvještajnom razdoblju tekuće godine iznosili su 14,90 eura, dok su u </w:t>
      </w:r>
      <w:proofErr w:type="spellStart"/>
      <w:r>
        <w:t>u</w:t>
      </w:r>
      <w:proofErr w:type="spellEnd"/>
      <w:r>
        <w:t xml:space="preserve"> izvještajnom razdoblju prethodne godine iznosile 4,94 eura, što je povećanje od 201,60 %.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</w:t>
            </w:r>
            <w:r>
              <w:rPr>
                <w:b/>
                <w:sz w:val="18"/>
              </w:rPr>
              <w:t>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53.583,50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67.754,69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126,4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Ostali nespomenuti prihodi odnose se na prodaju ulaznica za posjet </w:t>
      </w:r>
      <w:proofErr w:type="spellStart"/>
      <w:r>
        <w:t>Veloj</w:t>
      </w:r>
      <w:proofErr w:type="spellEnd"/>
      <w:r>
        <w:t xml:space="preserve"> </w:t>
      </w:r>
      <w:proofErr w:type="spellStart"/>
      <w:r>
        <w:t>Spili</w:t>
      </w:r>
      <w:proofErr w:type="spellEnd"/>
      <w:r>
        <w:t xml:space="preserve"> i prihode od prodaje karata za razna kulturna događanja koje organizira Centar za kulturu.</w:t>
      </w:r>
    </w:p>
    <w:p w:rsidR="00983BB8" w:rsidRDefault="00CC3975">
      <w:r>
        <w:t>U izvještajnom razdoblju prethodne 2024. godine ostvareno je 53.583,50 prihoda, dok je</w:t>
      </w:r>
      <w:r>
        <w:t xml:space="preserve"> u </w:t>
      </w:r>
      <w:proofErr w:type="spellStart"/>
      <w:r>
        <w:t>u</w:t>
      </w:r>
      <w:proofErr w:type="spellEnd"/>
      <w:r>
        <w:t xml:space="preserve"> izvještajnom razdoblju tekuće godine ostvareno 67.754,69 eura, što je povećanje od 26,40 %.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usluga, prihodi od donacija te povrati po protestiranim jamstvima (šifre 661+663)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9.130,00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10.953,45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120,0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izvještajnom razdoblju tekuće godine ostvareno je 10.953,45 eura prihoda dok je u izvještajnom razdoblju prethodne godine ostvareno 9.130,00 eura, što je povećanje od 20,00 %. Prihodi se odnose na: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Prihodi od prodaje proizvoda i robe u iznosu od 60,00 eura (prodaja knjiga "Otok Korčula - Od najranijeg vremena do kraja prapovijesti) te na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Tekuće donacije u iznosu od 10.893,45 eura.</w:t>
      </w:r>
    </w:p>
    <w:p w:rsidR="00983BB8" w:rsidRDefault="00CC3975">
      <w:r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Prihodi od prodaje proizvoda i robe u izvještajnom razdoblju tekuće 2025. godine iznose 60,00 eura a odnose se na prodaju 6 knjiga "Otok Korčula - od najranijeg vremena do kraja prapovijesti" po cijeni od 10,00 eura za knjigu.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</w:t>
            </w:r>
            <w:r>
              <w:rPr>
                <w:b/>
                <w:sz w:val="18"/>
              </w:rPr>
              <w:t>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Donacije od pravnih i fizičkih osoba izvan općeg proračuna te povrat donacija i kapitalnih pomoći po protestiranim </w:t>
            </w:r>
            <w:r>
              <w:rPr>
                <w:sz w:val="18"/>
              </w:rPr>
              <w:t>jamstvima (šifre 6631 do 6634)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9.130,00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10.893,45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119,3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Donacije od pravnih i fizičkih osoba izvan općeg proračuna ostvarene u izvještajnom razdoblju tekuće 2025. godine iznose 10.893,45 eura, što je povećanje od 19,30 % u odnosu na izvještajno razdoblje prethodne godine gdje su iste iznosile 9.130,00 eura.</w:t>
      </w:r>
    </w:p>
    <w:p w:rsidR="00983BB8" w:rsidRDefault="00CC3975">
      <w:r>
        <w:t>Don</w:t>
      </w:r>
      <w:r>
        <w:t>acije se odnose najvećim dijelom na donacije za Manifestaciju Trag u beskraju - sjećanje na Olivera Dragojevića u iznosu od 10.793,45 eura te 100,00 eura na Donacije za "Memorijalnu zbirku Oliver Dragojević".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151.815,70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171.220,21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112,8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Prihodi iz nadležnog proračuna za financiranje rashoda poslovanja u izvještajnom razdoblju tekuće godine iznosili su 171.220,21 eura, što je povećanje od 12,80 % u odnosu na prethodnu 2024. godinu gdje su isti iznosili 151.815,70 eura.</w:t>
      </w:r>
      <w:r>
        <w:br/>
        <w:t> </w:t>
      </w:r>
    </w:p>
    <w:p w:rsidR="00983BB8" w:rsidRDefault="00CC3975">
      <w:r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169.822,21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191.217,06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112,6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Centru za kulturu rashodi poslovanja u 2025. godini iznose 191.217,06 eura, što je za 12,60 % više u odnosu na prethodnu 2024. godinu kada su iznosili 169.822,21 eura.</w:t>
      </w:r>
    </w:p>
    <w:p w:rsidR="00983BB8" w:rsidRDefault="00CC3975">
      <w:r>
        <w:t>Rashodi poslovanja u CZK odnose se na: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rashode za zaposlene u iznosu od 50.155,32 eura</w:t>
      </w:r>
      <w:r>
        <w:t>, 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materijalne rashode, gdje se ujedno bilježi i najveći rast, u iznosu od 140.075,66 eura te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financijske rashode u iznosu od 986,08 eura.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58.150,81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50.155,32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86,3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CZK rashodi za zaposlene u izvještajnom razdoblju tekuće godine iznosili su 50.155,32 eura, dok su isti u promatranom razdoblju prethodne 2024. godine iznosili 58.150,81 eura.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Bruto plaće iznose 38.649,78 eura, dok je u istom razdoblju prošle godine ispl</w:t>
      </w:r>
      <w:r>
        <w:t>aćeno je 44.040,19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Doprinosi za obvezno zdravstveno osiguranje iznose 6.235,54 eura, dok su u istom razdoblju prošle godine iznosili su 7.260,18 eura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Ostali rashodi za zaposlene (božićnice, prigodne nagrade, dnevnice, jubilarne nagrade…) u 2025. godi</w:t>
      </w:r>
      <w:r>
        <w:t>ni iznose 5.270,00 euri (u istom razdoblju prošle godine iznosili su 6.850,44 eura)</w:t>
      </w:r>
    </w:p>
    <w:p w:rsidR="00983BB8" w:rsidRDefault="00CC3975">
      <w:r>
        <w:t> </w:t>
      </w:r>
    </w:p>
    <w:p w:rsidR="00983BB8" w:rsidRDefault="00CC3975">
      <w:r>
        <w:t xml:space="preserve">Temeljem članka 9. st. 2 Zakona o plaćama u lokalnoj i područnoj (regionalnoj) samoupravi (NN br. 28/10, 10/23) i članka 39. Statuta Općine Vela Luka (Sl. glasnik Općine </w:t>
      </w:r>
      <w:r>
        <w:t>Vela Luka br. 11/21) Općinska načelnica je donijela Odluku o osnovici za obračun plaće zaposlenicima ustanova u vlasništvu Općine Vela Luka. Osnovica je povećana na 975,60 eura (počevši od isplate plaće za veljaču) (Sl. glasnik Općine Vela Luka br. 5/25. o</w:t>
      </w:r>
      <w:r>
        <w:t>d 05.03.25.), također se osnovica već jednom mijenjala na 947,18 eura počevši s isplatom plaće za srpanj 2024.g. (Sl. glasnik općine vela Luka br. 9/24). Od 1. rujna 2025. godine osnovica je povećana na 1.004,87 eura bruto i primjenjuje se počevši s plaćom</w:t>
      </w:r>
      <w:r>
        <w:t xml:space="preserve"> za mjesec rujan, koja se isplaćuje u mjesecu listopadu.</w:t>
      </w:r>
    </w:p>
    <w:p w:rsidR="00983BB8" w:rsidRDefault="00CC3975">
      <w:r>
        <w:t>Provođenjem nove sistematizacije radnih mjesta utvrđeni su i novi, veći koeficijenti složenosti radnih mjesta radnika zaposlenih u Centru za kulturu Vela Luka (Službeni glasnik Općine Vela Luka 15/24</w:t>
      </w:r>
      <w:r>
        <w:t xml:space="preserve"> od 19.08.2024.)</w:t>
      </w:r>
    </w:p>
    <w:p w:rsidR="00983BB8" w:rsidRDefault="00CC3975">
      <w:r>
        <w:t>Na temelju članka 39. Statuta Općine Vela Luka (Sl. glasnik Općine Vela Luka broj 11/21) a u skladu sa člankom 7., r.br.34. Pravilnika o porezu na dohodak (NN br. 10/17, 128/17, 106/18, 1/19, 80/19, 1/20, 74/20, 1/21, 102/22, 112/22, 156/2</w:t>
      </w:r>
      <w:r>
        <w:t>2, 1/23, 3/23 – ispr. 56/23 i 143/23) Općinska načelnica je dana 05.07.24. donijela Odluku o isplati novčane paušalne naknade za podmirivanje troškova prehrane zaposlenicima ustanova u vlasništvu Općine Vela Luka te se novčana naknada za podmirenje troškov</w:t>
      </w:r>
      <w:r>
        <w:t>a prehrane sa prijašnjih 66,36 eura mjesečno povećala na neoporezivi iznos od 100,00 eura mjesečno.</w:t>
      </w:r>
    </w:p>
    <w:p w:rsidR="00983BB8" w:rsidRDefault="00CC3975">
      <w:r>
        <w:t>Jedna zaposlenica Centra za Kulturu Vela Luka je na dugotrajnom bolovanju i iz toga proizlazi razlika u rashodima za zaposlene u odnosu na isto promatrano r</w:t>
      </w:r>
      <w:r>
        <w:t>azdoblje prethodne godine (Također je prošle godine bila isplaćena pomoć u slučaju smrti člana obitelji u neto iznosu od 441,44 eura), a od 1. studenog 2025. godine na mjesto kustosa zaposlena je nova djelatnica.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Opis </w:t>
            </w:r>
            <w:r>
              <w:rPr>
                <w:b/>
                <w:sz w:val="18"/>
              </w:rPr>
              <w:t>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6.850,44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5.270,00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76,9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Ostali rashodi za zaposlene (božićnice, prigodne nagrade, dnevnice, jubilarne nagrade…) u izvještajnom razdoblju tekuće godine iznose 5.270,00 eura, dok su u istom razdoblju prošle godine iznosili su 6.850,44 eura.  Razlika najvećim dijelom proizlazi iz du</w:t>
      </w:r>
      <w:r>
        <w:t xml:space="preserve">gotrajnog bolovanja jedne zaposlenice - </w:t>
      </w:r>
      <w:proofErr w:type="spellStart"/>
      <w:r>
        <w:t>kustosice</w:t>
      </w:r>
      <w:proofErr w:type="spellEnd"/>
      <w:r>
        <w:t>, isplate pomoći u slučaju smrti člana obitelji te odlaska Ravnatelja CZK u mirovinu, samim time su ostali rashodi za zaposlene smanjeni.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110.526,21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140.075,66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126,7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izvještajnom razdoblju tekuće godine, materijalni rashodi iznosili su 140.075,66 eura, što predstavlja porast od 26,70 % u odnosu na isto razdoblje prethodne godine, kada su iznosili 110.526,21 eura. Povećanje rashoda uglavnom je rezultat povećanja poslo</w:t>
      </w:r>
      <w:r>
        <w:t>vnih aktivnosti tijekom 2025. godine, što je dovelo do većih troškova za materijal i usluge.</w:t>
      </w:r>
      <w:r>
        <w:br/>
        <w:t> 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</w:t>
            </w:r>
            <w:r>
              <w:rPr>
                <w:b/>
                <w:sz w:val="18"/>
              </w:rPr>
              <w:t xml:space="preserve">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prijevoz, za rad na terenu i odvojeni život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1.686,80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972,00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57,6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U promatranom razdoblju 2025. godine naknade za prijevoz su iznosile 972,00 eura, dok su u istom promatranom razdoblju prethodne 2024. godine iznosile 1.686,80 eura. Razlog takvog smanjenja proizlazi iz dugotrajnog bolovanja zaposlenice, </w:t>
      </w:r>
      <w:proofErr w:type="spellStart"/>
      <w:r>
        <w:t>kustosice</w:t>
      </w:r>
      <w:proofErr w:type="spellEnd"/>
      <w:r>
        <w:t xml:space="preserve"> centra k</w:t>
      </w:r>
      <w:r>
        <w:t xml:space="preserve">oja je tu naknadu primala, dok drugi dio naknade primaju sezonci CZK koji rade na arheološkom lokalitetu Vela </w:t>
      </w:r>
      <w:proofErr w:type="spellStart"/>
      <w:r>
        <w:t>Spila</w:t>
      </w:r>
      <w:proofErr w:type="spellEnd"/>
      <w:r>
        <w:t>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materijal i energiju (šifre 3221 do 3227)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1.398,78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2.225,63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159,1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Rashodi za materijal i energiju u tekućem izvještajnom razdoblju iznosili su 2.225,63 eura, dok su u izvještajnom razdoblju prethodne godine iznosili 1.398,78 eura, što predstavlja povećanje od 826,85 eura, odnosno 59,10 %.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</w:t>
            </w:r>
            <w:r>
              <w:rPr>
                <w:b/>
                <w:sz w:val="18"/>
              </w:rPr>
              <w:t>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Uredski materijal i ostali materijalni rashodi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545,51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1.373,87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251,9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Na uredski materijal i ostale materijalne rashode u izvještajnom razdoblju tekuće godine utrošeno je 1.373,87 eura, dok je u izvještajnom razdoblju prethodne godine na iste utrošeno 545,51 eura, što </w:t>
      </w:r>
      <w:proofErr w:type="spellStart"/>
      <w:r>
        <w:t>predstavalja</w:t>
      </w:r>
      <w:proofErr w:type="spellEnd"/>
      <w:r>
        <w:t xml:space="preserve"> povećanje od 151,90 %. Razlog proizlazi iz p</w:t>
      </w:r>
      <w:r>
        <w:t>ovećanog obujma poslovnih aktivnosti i radova na objektu u 2025. godini. </w:t>
      </w:r>
      <w:r>
        <w:br/>
        <w:t> 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Energija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506,99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599,50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118,2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Od 1. siječnja do 31. prosinca 2025.g. rashodi za energiju iznosili su 599,50 eura, dok su isti u promatranom razdoblju prethodne godine iznosili 506,99 eura, što je povećanje od 18,20 %. Razlog povećanja proizlazi iz povećanje potrošnje el. energije uslij</w:t>
      </w:r>
      <w:r>
        <w:t>ed radova na objektu.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99.559,99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121.783,18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122,3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izvještajnom razdoblju tekuće godine na usluge promidžbe i informiranja utrošeno je 121.783,18 eura, što je povećanje od 22,30 % u odnosu na izvještajno razdoblje prethodne 2024. godine gdje je utrošeno 99.559,99 eura. Sredstva su utrošena na:</w:t>
      </w:r>
    </w:p>
    <w:p w:rsidR="00983BB8" w:rsidRDefault="00CC3975">
      <w:pPr>
        <w:pStyle w:val="Odlomakpopisa"/>
        <w:numPr>
          <w:ilvl w:val="0"/>
          <w:numId w:val="1"/>
        </w:numPr>
      </w:pPr>
      <w:r>
        <w:t xml:space="preserve">Izložbu </w:t>
      </w:r>
      <w:r>
        <w:t>"Oliver Dragojević" u iznosu od 75,00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Manifestaciju "Trag u beskraju 2025" u iznosu od 89.422,84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Kulturna događanja - Dan općine u iznosu od 5.596,01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Kulturna događanja u iznosu od 26.189,33 eura te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Usluge organiziranja izložbi u iznosu o</w:t>
      </w:r>
      <w:r>
        <w:t>d 500,00 eura.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679,37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721,22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106,2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promatranom razdoblju 2025. godine na komunalne usluge (Usluge iznošenja i odvoza smeća te opskrbe vodom) utrošeno je 721,22 eura, što je za 6,20% više u odnosu na isto promatrano razdoblje prethodne godine, kada je na iste usluge utrošeno 679,37 eura.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4.384,49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7.938,08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181,0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izvještajnom razdoblju tekuće 2025. godine na ostale usluge utrošeno je 7.938,08 eura, dok je u istom razdoblju prethodne godine na iste utrošeno 4.384,49 eura. Razlog tome povećanju proizlazi iz povećanog obujma poslovanja, povećanom broju raznih progra</w:t>
      </w:r>
      <w:r>
        <w:t>ma i kulturnih događanja, najam opreme te usluge promocije i marketinga za kulturna događanja kao što su izložbe i koncerti.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395,50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1.211,50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306,3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promatranom razdoblju 2025.g. na reprezentaciju je utrošeno 1.211,50 eura, u istom razdoblju prethodne godine utrošeno je 395,50 eura, što je povećanje od 206,30%. Povećanje rashoda reprezentacije u promatranom razdoblju najvećim dijelom rezultat je inte</w:t>
      </w:r>
      <w:r>
        <w:t>nzivnijih aktivnosti Centra za kulturu kroz veći broj kulturnih događanja i suradnji s partnerima iz drugih mjesta i gradova, što je uvjetovalo povećane troškove.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1.472,90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1.547,79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105,1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Ostali nespomenuti rashodi poslovanja u izvještajnom razdoblju tekuće godine iznose 1.547,79 eura, što je povećanje od 5,10 % u odnosu na izvještajno razdoblje prethodne 2024. godine kada su isti iznosili 1.472,90 eura. Povećanje navedenih rashoda rezultat</w:t>
      </w:r>
      <w:r>
        <w:t xml:space="preserve"> je redovitih i povremenih troškova vezanih uz provedbu programa i poslovanje Centra za kulturu, koji su nužni za nesmetano obavljanje djelatnosti.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182.187,07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Do 31. prosinca 2025. godine na postrojenje i opremu je utrošeno 182.187,07 eura, dok je u istom razdoblju prethodne godine na isto utrošeno 975,00 eura. Najveći dio sredstava je utrošen na opremanje </w:t>
      </w:r>
      <w:proofErr w:type="spellStart"/>
      <w:r>
        <w:t>termotehničkih</w:t>
      </w:r>
      <w:proofErr w:type="spellEnd"/>
      <w:r>
        <w:t xml:space="preserve"> instalacija za sustav grijanja, hlađenje </w:t>
      </w:r>
      <w:r>
        <w:t>i ventilaciju zgrade CZK te stručni nadzor nad izvođenjem istog te na izradu vizualnog identiteta za Memorijalnu muzejsku zbirku Oliver Dragojević i druge radove na istoj.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</w:t>
            </w:r>
            <w:r>
              <w:rPr>
                <w:b/>
                <w:sz w:val="18"/>
              </w:rPr>
              <w:t>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2.036,01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208,8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U izvještajnom razdoblju tekuće godine na uredsku opremu i namještaj utrošeno je 2.036,01 eura, što je za 108,80 % više u odnosu na </w:t>
      </w:r>
      <w:proofErr w:type="spellStart"/>
      <w:r>
        <w:t>zvještajno</w:t>
      </w:r>
      <w:proofErr w:type="spellEnd"/>
      <w:r>
        <w:t xml:space="preserve"> razdoblje prethodne 2024. godine kada je na istu utrošeno 975,00 eura. </w:t>
      </w:r>
      <w:proofErr w:type="spellStart"/>
      <w:r>
        <w:t>Strestva</w:t>
      </w:r>
      <w:proofErr w:type="spellEnd"/>
      <w:r>
        <w:t xml:space="preserve"> su najvećim dijelom utrošena na r</w:t>
      </w:r>
      <w:r>
        <w:t>ačunala i računalnu opremu.</w:t>
      </w:r>
      <w:r>
        <w:br/>
        <w:t> 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Uređaji, strojevi i oprema za ostale namjene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180.151,06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promatranom razdoblju 2025. godine, ukupna ulaganja u adaptaciju zgrade iznosila su 180.151,06 eura, pri čemu je 179.016,21 eura utrošeno na nabavu opreme, dok je 1.134,85 eura izdvojeno za nabavu uređaja.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</w:t>
            </w:r>
            <w:r>
              <w:rPr>
                <w:b/>
                <w:sz w:val="18"/>
              </w:rPr>
              <w:t>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130.083,84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181.758,23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139,7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U promatranom razdoblju 2025.g. investirano je u adaptaciju zgrade CZK 181.758,23 eura, što je za 39,70 % više nego u promatranom razdoblju prethodne 2024. godine kada je na istu utrošeno 130.083,84 eura.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</w:t>
            </w:r>
            <w:r>
              <w:rPr>
                <w:b/>
                <w:sz w:val="18"/>
              </w:rPr>
              <w:t>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Ispravak vrijednosti građevinskih objekata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24.333,40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42.964,60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176,6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Ispravak vrijednosti građevinskih objekata na dan 31. prosinca 2025. godine iznosi 42.964,60 eura, što predstavlja povećanje od 76,60 % u odnosu na stanje na dan 1. siječnja koje je iznosilo 24.333,40 eura.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Ispravak vrijednosti postrojenja i opreme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13.933,51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15.859,67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113,8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Ispravak vrijednosti postrojenja i opreme na dan 31. prosinca iznosi 15.859,67 eura, što predstavlja povećanje od 13,80 % u odnosu na stanje na dan 1. siječnja koje je iznosilo 13.933,51 eura.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</w:t>
            </w:r>
            <w:r>
              <w:rPr>
                <w:b/>
                <w:sz w:val="18"/>
              </w:rPr>
              <w:t xml:space="preserve">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Ispravak vrijednosti nematerijalne proizvedene imovine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02926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3.024,13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3.276,30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108,3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Ispravak vrijednosti nematerijalne proizvedene imovine na dan 31. prosinca 2025. godine iznosi 3.276,30 eura, što predstavlja povećanje od 8,30 % u odnosu na stanje na dan 1. siječnja koje je iznosilo 3.024,13 eura.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</w:t>
            </w:r>
            <w:r>
              <w:rPr>
                <w:b/>
                <w:sz w:val="18"/>
              </w:rPr>
              <w:t xml:space="preserve">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Građevinski objekti u pripremi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586.214,87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767.973,10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131,0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Stanje na dan 1 siječnja građevinskog objekta u pripremi iznosilo je 586.214,87 eura, dok je stanje na 31. prosinca 2025. godine iznosilo 767.973,10 eura što je povećanje od 31,00 % a odnosi se na ulaganje i opremanje prostora za Memorijalnu zbirku Olivera</w:t>
      </w:r>
      <w:r>
        <w:t xml:space="preserve"> Dragojevića.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Novac u banci i blagajni (šifre 111+112 do 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8.275,58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Stanje na poslovnom računu na dan 31. prosinca iznosi 0,00 eura iz razloga što se prešlo na sustav riznice, te su sva sredstva s poslovnog računa prenesena 31. prosinca 2025. godine na žiro-račun nadležnog proračuna Općine Vela Luka.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</w:t>
            </w:r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687,47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837,52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121,8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Stanje ostalih potraživanja na dan 1. siječnja 2025. godine iznosilo je 687,47 eura, dok je na dan 31. prosinca 2025. godine iznosilo 837,52 eura, što predstavlja povećanje od 21,80 %.</w:t>
      </w:r>
    </w:p>
    <w:p w:rsidR="00983BB8" w:rsidRDefault="00CC3975">
      <w:r>
        <w:t>Ostala potraživanja najvećim se dijelom odnose na potraživanja za refun</w:t>
      </w:r>
      <w:r>
        <w:t xml:space="preserve">daciju naknada za bolovanje u iznosu od 679,68 eura, a vezana su uz dugotrajno bolovanje jedne zaposlenice. Preostali dio ostalih potraživanja, u iznosu od 157,84 eura, odnosi se na ostala nespomenuta potraživanja nastala uslijed </w:t>
      </w:r>
      <w:proofErr w:type="spellStart"/>
      <w:r>
        <w:t>Finine</w:t>
      </w:r>
      <w:proofErr w:type="spellEnd"/>
      <w:r>
        <w:t xml:space="preserve"> pogrešne dvostruke </w:t>
      </w:r>
      <w:r>
        <w:t>uplate dobavljačima, pri čemu je dio sredstava u iznosu od 120,00 eura početkom siječnja 2026. godine vraćen uplatom na žiro-račun nadležnog proračuna.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 (šifre 161 do 163 + 164 do 168-169)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17.006,86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&gt;&gt;100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Potraživanja za prihode poslovanja na dan 31. prosinca 2025. godine iznose 17.006,86 eura.</w:t>
      </w:r>
    </w:p>
    <w:p w:rsidR="00983BB8" w:rsidRDefault="00CC3975">
      <w:r>
        <w:t>17.004,86 eura se odnosi na prijenos sredstava proračunskog korisnika u nadležni proračun Općine Vela Luka radi zatvaranja poslovnog računa u svrhu prelaska na riznicu, dok se 2,00 eura odnosi na početno stanje 01.01.2025. godine.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</w:t>
            </w:r>
            <w:r>
              <w:rPr>
                <w:b/>
                <w:sz w:val="18"/>
              </w:rPr>
              <w:t>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proračunskih korisnika za sredstva uplaćena u nadležni proračun i za prihode od HZZO-a na temelju ugovornih obveza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17.004,86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Potraživanja proračunskih korisnika za sredstva uplaćena u nadležni proračun na dan 31. prosinca 2025. godine iznose 17.004,86 eura, a odnose se na prijenos sredstava proračunskog korisnika u nadležni proračun Općine Vela Luka radi zatvaranja poslovnog rač</w:t>
      </w:r>
      <w:r>
        <w:t>una u svrhu prelaska na riznicu.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b/>
          <w:sz w:val="28"/>
        </w:rPr>
        <w:t>Izvještaj o rashodima prema funkcijskoj klasifikaciji</w:t>
      </w:r>
    </w:p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 kulture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300.881,05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555.162,36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184,5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Rashodi u funkciji službe kulture u izvještajnom razdoblju tekuće 2025. godine iznose 555.162,36 eura, što predstavlja povećanje od 84,50 % u odnosu na prethodnu 2024. godinu kada su isti iznosili 300.881,05 eura.</w:t>
      </w:r>
      <w:r>
        <w:br/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</w:t>
      </w:r>
      <w:r>
        <w:rPr>
          <w:b/>
          <w:sz w:val="28"/>
        </w:rPr>
        <w:t xml:space="preserve"> i obveza</w:t>
      </w:r>
    </w:p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 obujmu imovine (šifre 91511+91512)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20.809,53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Izvještaj o promjenama u vrijednosti i obujmu imovine i obveza dopuna je podacima iz Bilance. U obrazac P-VRIO unose se promjene u vrijednosti i obujmu imovine i obveza koje nisu posljedica prihoda odnosno rashoda niti novčanog tijeka (koje nisu rezultat t</w:t>
      </w:r>
      <w:r>
        <w:t>ransakcija koje se iskazuju kao prihodi, primici, rashodi i izdaci).</w:t>
      </w:r>
    </w:p>
    <w:p w:rsidR="00983BB8" w:rsidRDefault="00CC3975">
      <w:r>
        <w:t>U izvještajnom razdoblju evidentirano je smanjenje vrijednosti i obujma imovine u ukupnom iznosu od 20.809,53 eura. </w:t>
      </w:r>
    </w:p>
    <w:p w:rsidR="00983BB8" w:rsidRDefault="00CC3975">
      <w:r>
        <w:t> 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983BB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Proizvedena dugotrajna imovina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20.809,53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>Na šifri P003 od ove godine se uvodi iskazivanje ispravka vrijednosti (IV) dugotrajne imovine koja je ispravljena u 2025. g. na dan 31.prosinca, u ukupnom iznosu od 20.809,53 eura, a odnosi se na: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IV građevinskih objekata (konta podskupine 021) u iznosu od</w:t>
      </w:r>
      <w:r>
        <w:t xml:space="preserve"> 18.631,20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IV postrojenja i opreme (022) u iznosu od 1.926,16 eura,</w:t>
      </w:r>
    </w:p>
    <w:p w:rsidR="00983BB8" w:rsidRDefault="00CC3975">
      <w:pPr>
        <w:pStyle w:val="Odlomakpopisa"/>
        <w:numPr>
          <w:ilvl w:val="0"/>
          <w:numId w:val="1"/>
        </w:numPr>
      </w:pPr>
      <w:r>
        <w:t>IV nematerijalne proizvedene imovine (026) u iznosu od 252,17 eura.</w:t>
      </w:r>
    </w:p>
    <w:p w:rsidR="00983BB8" w:rsidRDefault="00983BB8"/>
    <w:p w:rsidR="00983BB8" w:rsidRDefault="00CC3975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:rsidR="00983BB8" w:rsidRDefault="00CC3975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983B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83BB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983BB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Stanje dospjelih </w:t>
            </w:r>
            <w:r>
              <w:rPr>
                <w:sz w:val="18"/>
              </w:rPr>
              <w:t>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8.126,66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983BB8" w:rsidRDefault="00CC3975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983BB8" w:rsidRDefault="00983BB8">
      <w:pPr>
        <w:spacing w:after="0"/>
      </w:pPr>
    </w:p>
    <w:p w:rsidR="00983BB8" w:rsidRDefault="00CC3975">
      <w:r>
        <w:t xml:space="preserve">Stanje dospjelih obveza na kraju izvještajnog razdoblja iznosi 8.126,66 eura. Obveze se odnose na dobavljače: Financijska agencija u iznosu od 1,66 eura, </w:t>
      </w:r>
      <w:proofErr w:type="spellStart"/>
      <w:r>
        <w:t>Lankar</w:t>
      </w:r>
      <w:proofErr w:type="spellEnd"/>
      <w:r>
        <w:t xml:space="preserve"> projekt d.o.o. u iznosu od 1.875,00 eura te Tim bolje d.o.o. u iznosu od 6.250,00 eura. Sve obv</w:t>
      </w:r>
      <w:r>
        <w:t>eze su naknadno plaćene početkom mjeseca siječnja 2026. godine.</w:t>
      </w:r>
    </w:p>
    <w:p w:rsidR="00983BB8" w:rsidRDefault="00983BB8"/>
    <w:sectPr w:rsidR="00983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2117C"/>
    <w:multiLevelType w:val="hybridMultilevel"/>
    <w:tmpl w:val="0A8292F2"/>
    <w:name w:val="disc"/>
    <w:lvl w:ilvl="0" w:tplc="B9B4B138">
      <w:start w:val="1"/>
      <w:numFmt w:val="bullet"/>
      <w:lvlText w:val="•"/>
      <w:lvlJc w:val="left"/>
      <w:pPr>
        <w:ind w:left="720" w:hanging="360"/>
      </w:pPr>
    </w:lvl>
    <w:lvl w:ilvl="1" w:tplc="4EC8A474">
      <w:start w:val="1"/>
      <w:numFmt w:val="bullet"/>
      <w:lvlText w:val="•"/>
      <w:lvlJc w:val="left"/>
      <w:pPr>
        <w:ind w:left="1440" w:hanging="360"/>
      </w:pPr>
    </w:lvl>
    <w:lvl w:ilvl="2" w:tplc="98649F82">
      <w:start w:val="1"/>
      <w:numFmt w:val="bullet"/>
      <w:lvlText w:val="•"/>
      <w:lvlJc w:val="left"/>
      <w:pPr>
        <w:ind w:left="2160" w:hanging="360"/>
      </w:pPr>
    </w:lvl>
    <w:lvl w:ilvl="3" w:tplc="E4C28008">
      <w:start w:val="1"/>
      <w:numFmt w:val="bullet"/>
      <w:lvlText w:val="•"/>
      <w:lvlJc w:val="left"/>
      <w:pPr>
        <w:ind w:left="2880" w:hanging="360"/>
      </w:pPr>
    </w:lvl>
    <w:lvl w:ilvl="4" w:tplc="4ECEA694">
      <w:start w:val="1"/>
      <w:numFmt w:val="bullet"/>
      <w:lvlText w:val="•"/>
      <w:lvlJc w:val="left"/>
      <w:pPr>
        <w:ind w:left="3600" w:hanging="360"/>
      </w:pPr>
    </w:lvl>
    <w:lvl w:ilvl="5" w:tplc="02969E48">
      <w:start w:val="1"/>
      <w:numFmt w:val="bullet"/>
      <w:lvlText w:val="•"/>
      <w:lvlJc w:val="left"/>
      <w:pPr>
        <w:ind w:left="4320" w:hanging="360"/>
      </w:pPr>
    </w:lvl>
    <w:lvl w:ilvl="6" w:tplc="9D38F540">
      <w:start w:val="1"/>
      <w:numFmt w:val="bullet"/>
      <w:lvlText w:val="•"/>
      <w:lvlJc w:val="left"/>
      <w:pPr>
        <w:ind w:left="5040" w:hanging="360"/>
      </w:pPr>
    </w:lvl>
    <w:lvl w:ilvl="7" w:tplc="3CD89898">
      <w:start w:val="1"/>
      <w:numFmt w:val="bullet"/>
      <w:lvlText w:val="•"/>
      <w:lvlJc w:val="left"/>
      <w:pPr>
        <w:ind w:left="5760" w:hanging="360"/>
      </w:pPr>
    </w:lvl>
    <w:lvl w:ilvl="8" w:tplc="6D0AAE64">
      <w:start w:val="1"/>
      <w:numFmt w:val="bullet"/>
      <w:lvlText w:val="•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3BB8"/>
    <w:rsid w:val="00983BB8"/>
    <w:rsid w:val="00CC3975"/>
    <w:rsid w:val="00ED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56A2179A-B6E9-4D40-80BC-20162F70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pPr>
      <w:spacing w:after="0" w:line="240" w:lineRule="auto"/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D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6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cp:lastPrinted>2026-01-28T10:57:00Z</cp:lastPrinted>
  <dcterms:created xsi:type="dcterms:W3CDTF">2026-01-28T10:55:00Z</dcterms:created>
</cp:coreProperties>
</file>